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15" w:rsidRPr="00E57415" w:rsidRDefault="00E57415" w:rsidP="00E57415">
      <w:pPr>
        <w:widowControl/>
        <w:spacing w:line="500" w:lineRule="exact"/>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30"/>
          <w:szCs w:val="30"/>
        </w:rPr>
        <w:t>全日制硕士专业学位研究生专业实践管理与考核暂行办法</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西交研〔2015〕21号</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总  则</w:t>
      </w:r>
    </w:p>
    <w:p w:rsidR="00E57415" w:rsidRPr="00E57415" w:rsidRDefault="00E57415" w:rsidP="000D39D0">
      <w:pPr>
        <w:widowControl/>
        <w:spacing w:beforeLines="50" w:line="360" w:lineRule="auto"/>
        <w:ind w:firstLineChars="200" w:firstLine="482"/>
        <w:rPr>
          <w:rFonts w:ascii="宋体" w:eastAsia="宋体" w:hAnsi="宋体" w:cs="宋体"/>
          <w:color w:val="000000"/>
          <w:kern w:val="0"/>
          <w:szCs w:val="21"/>
        </w:rPr>
      </w:pPr>
      <w:r w:rsidRPr="00E57415">
        <w:rPr>
          <w:rFonts w:ascii="宋体" w:eastAsia="宋体" w:hAnsi="宋体" w:cs="Times New Roman" w:hint="eastAsia"/>
          <w:b/>
          <w:color w:val="000000"/>
          <w:kern w:val="0"/>
          <w:sz w:val="24"/>
          <w:szCs w:val="24"/>
        </w:rPr>
        <w:t>第一条</w:t>
      </w:r>
      <w:r w:rsidRPr="00E57415">
        <w:rPr>
          <w:rFonts w:ascii="宋体" w:eastAsia="宋体" w:hAnsi="宋体" w:cs="Times New Roman" w:hint="eastAsia"/>
          <w:color w:val="000000"/>
          <w:kern w:val="0"/>
          <w:sz w:val="24"/>
          <w:szCs w:val="24"/>
        </w:rPr>
        <w:t>专业实践是重要的教学环节，充分的、高质量的专业实践是专业学位教育质量的重要保证。为规范管理我校研究生专业实践工作，加强对研究生实践实行全过程的管理、服务和质量评价，确保实践教学质量。根据《教育部关于做好全日制硕士专业学位研究生培养工作的若干意见》（教研〔2009〕1号）和《教育部 人力资源与社会保障部关于深入推进专业学位研究生培养模式改革的意见》（教研〔2013〕3号）等文件精神，结合学校实际，特制定本暂行办法。</w:t>
      </w:r>
    </w:p>
    <w:p w:rsidR="00E57415" w:rsidRPr="00E57415" w:rsidRDefault="00E57415" w:rsidP="00E57415">
      <w:pPr>
        <w:widowControl/>
        <w:spacing w:line="360" w:lineRule="auto"/>
        <w:ind w:firstLineChars="200" w:firstLine="48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第二条</w:t>
      </w:r>
      <w:r w:rsidRPr="00E57415">
        <w:rPr>
          <w:rFonts w:ascii="宋体" w:eastAsia="宋体" w:hAnsi="宋体" w:cs="宋体" w:hint="eastAsia"/>
          <w:color w:val="000000"/>
          <w:kern w:val="0"/>
          <w:sz w:val="24"/>
          <w:szCs w:val="24"/>
        </w:rPr>
        <w:t xml:space="preserve"> 本办法所称研究生是指除</w:t>
      </w:r>
      <w:r w:rsidRPr="00E57415">
        <w:rPr>
          <w:rFonts w:ascii="Times New Roman" w:eastAsia="宋体" w:hAnsi="宋体" w:cs="宋体" w:hint="eastAsia"/>
          <w:color w:val="000000"/>
          <w:kern w:val="0"/>
          <w:sz w:val="24"/>
          <w:szCs w:val="24"/>
        </w:rPr>
        <w:t>临床医学硕士、口腔医学硕士和护理硕士专业学位研究生外的</w:t>
      </w:r>
      <w:r w:rsidRPr="00E57415">
        <w:rPr>
          <w:rFonts w:ascii="宋体" w:eastAsia="宋体" w:hAnsi="宋体" w:cs="宋体" w:hint="eastAsia"/>
          <w:color w:val="000000"/>
          <w:kern w:val="0"/>
          <w:sz w:val="24"/>
          <w:szCs w:val="24"/>
        </w:rPr>
        <w:t xml:space="preserve">全日制硕士专业学位研究生。专业实践是指研究生到本专业领域相关的校内外单位进行的实践教学活动，其主要目的是提高研究生综合运用科学理论、方法和技术解决实际问题的能力。学校将参加“全国研究生创新系列活动”主题赛事以及其他同等水平的全国赛事（以下简称“学科竞赛”）作为专业实践的重要形式之一。   </w:t>
      </w:r>
    </w:p>
    <w:p w:rsidR="00E57415" w:rsidRPr="00E57415" w:rsidRDefault="00E57415" w:rsidP="00E57415">
      <w:pPr>
        <w:widowControl/>
        <w:spacing w:line="360" w:lineRule="auto"/>
        <w:ind w:firstLineChars="200" w:firstLine="480"/>
        <w:jc w:val="left"/>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 </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管  理</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FF"/>
          <w:kern w:val="0"/>
          <w:sz w:val="24"/>
          <w:szCs w:val="24"/>
        </w:rPr>
        <w:t xml:space="preserve">第三条 </w:t>
      </w:r>
      <w:r w:rsidRPr="00E57415">
        <w:rPr>
          <w:rFonts w:ascii="宋体" w:eastAsia="宋体" w:hAnsi="宋体" w:cs="宋体" w:hint="eastAsia"/>
          <w:color w:val="0000FF"/>
          <w:kern w:val="0"/>
          <w:sz w:val="24"/>
          <w:szCs w:val="24"/>
        </w:rPr>
        <w:t>学院应严格按照研究生培养方案要求，安排研究生专业实践教学。必须保证累计不少于6个月，应届本科毕业生原则上不少于12个月。可采用集中实践与分段实践相结合的方式。</w:t>
      </w:r>
    </w:p>
    <w:p w:rsidR="00E57415" w:rsidRPr="00E57415" w:rsidRDefault="00E57415" w:rsidP="00E57415">
      <w:pPr>
        <w:widowControl/>
        <w:spacing w:line="360" w:lineRule="auto"/>
        <w:ind w:firstLineChars="196" w:firstLine="470"/>
        <w:jc w:val="left"/>
        <w:rPr>
          <w:rFonts w:ascii="宋体" w:eastAsia="宋体" w:hAnsi="宋体" w:cs="宋体"/>
          <w:color w:val="000000"/>
          <w:kern w:val="0"/>
          <w:sz w:val="24"/>
          <w:szCs w:val="24"/>
        </w:rPr>
      </w:pPr>
      <w:r w:rsidRPr="00E57415">
        <w:rPr>
          <w:rFonts w:ascii="宋体" w:eastAsia="宋体" w:hAnsi="宋体" w:cs="宋体" w:hint="eastAsia"/>
          <w:color w:val="FF0000"/>
          <w:kern w:val="0"/>
          <w:sz w:val="24"/>
          <w:szCs w:val="24"/>
        </w:rPr>
        <w:t>研究生专业实践考核通过后，获得相应学分。对于未获得专业实践学分的研究生，学院不得受理其毕业和学位申请。</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第四条</w:t>
      </w:r>
      <w:r w:rsidRPr="00E57415">
        <w:rPr>
          <w:rFonts w:ascii="宋体" w:eastAsia="宋体" w:hAnsi="宋体" w:cs="宋体" w:hint="eastAsia"/>
          <w:color w:val="000000"/>
          <w:kern w:val="0"/>
          <w:sz w:val="24"/>
          <w:szCs w:val="24"/>
        </w:rPr>
        <w:t xml:space="preserve"> 学院应成立专业实践教学工作组（成员至少3人，包括负责人和专家，可含1名教务人员），具体负责建立健全专业实践管理制度，开展专业实践教学研究，改革创新实践教学模式，</w:t>
      </w:r>
      <w:r w:rsidRPr="00E57415">
        <w:rPr>
          <w:rFonts w:ascii="Times New Roman" w:eastAsia="宋体" w:hAnsi="Times New Roman" w:cs="宋体" w:hint="eastAsia"/>
          <w:color w:val="000000"/>
          <w:kern w:val="0"/>
          <w:sz w:val="24"/>
          <w:szCs w:val="24"/>
        </w:rPr>
        <w:t>明确案例教学和实践教学的内容、学时和比例，规范教学程序，提高教学质量；</w:t>
      </w:r>
      <w:r w:rsidRPr="00E57415">
        <w:rPr>
          <w:rFonts w:ascii="宋体" w:eastAsia="宋体" w:hAnsi="宋体" w:cs="宋体" w:hint="eastAsia"/>
          <w:color w:val="000000"/>
          <w:kern w:val="0"/>
          <w:sz w:val="24"/>
          <w:szCs w:val="24"/>
        </w:rPr>
        <w:t>建立研究生专业实践管理档案，定期检查研</w:t>
      </w:r>
      <w:r w:rsidRPr="00E57415">
        <w:rPr>
          <w:rFonts w:ascii="宋体" w:eastAsia="宋体" w:hAnsi="宋体" w:cs="宋体" w:hint="eastAsia"/>
          <w:color w:val="000000"/>
          <w:kern w:val="0"/>
          <w:sz w:val="24"/>
          <w:szCs w:val="24"/>
        </w:rPr>
        <w:lastRenderedPageBreak/>
        <w:t>究生专业实践情况，及时处理研究生专业实践中出现的有关问题，保障专业实践效果。</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xml:space="preserve">第五条 </w:t>
      </w:r>
      <w:r w:rsidRPr="00E57415">
        <w:rPr>
          <w:rFonts w:ascii="宋体" w:eastAsia="宋体" w:hAnsi="宋体" w:cs="宋体" w:hint="eastAsia"/>
          <w:color w:val="000000"/>
          <w:kern w:val="0"/>
          <w:sz w:val="24"/>
          <w:szCs w:val="24"/>
        </w:rPr>
        <w:t>学院应加强对研究生的安全教育，增强其安全意识，提高自我防护能力。研究生在专业实践期间的医疗费用及人身伤害事故赔偿等，依据国家的法律法规和学校的相关规定处理。</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第六条</w:t>
      </w:r>
      <w:r w:rsidRPr="00E57415">
        <w:rPr>
          <w:rFonts w:ascii="宋体" w:eastAsia="宋体" w:hAnsi="宋体" w:cs="宋体" w:hint="eastAsia"/>
          <w:color w:val="000000"/>
          <w:kern w:val="0"/>
          <w:sz w:val="24"/>
          <w:szCs w:val="24"/>
        </w:rPr>
        <w:t xml:space="preserve"> 研究生应严格遵守学校和实践单位的规章制度，服从管理。违反专业实践纪律的研究生，应接受指导教师、学院和基地所在单位的批评教育，情节严重的，学院可责令其暂停专业实践活动，并将有关情况报送研究生院备案。</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第七条</w:t>
      </w:r>
      <w:r w:rsidRPr="00E57415">
        <w:rPr>
          <w:rFonts w:ascii="宋体" w:eastAsia="宋体" w:hAnsi="宋体" w:cs="宋体" w:hint="eastAsia"/>
          <w:color w:val="000000"/>
          <w:kern w:val="0"/>
          <w:sz w:val="24"/>
          <w:szCs w:val="24"/>
        </w:rPr>
        <w:t xml:space="preserve"> 对积极推动专业实践工作且管理规范、成绩显著的学院及先进个人，研究生院将给予适当的表彰奖励。</w:t>
      </w:r>
    </w:p>
    <w:p w:rsidR="00E57415" w:rsidRPr="00E57415" w:rsidRDefault="00E57415" w:rsidP="00E57415">
      <w:pPr>
        <w:widowControl/>
        <w:spacing w:line="360" w:lineRule="auto"/>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登  记</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第八条</w:t>
      </w:r>
      <w:r w:rsidRPr="00E57415">
        <w:rPr>
          <w:rFonts w:ascii="宋体" w:eastAsia="宋体" w:hAnsi="宋体" w:cs="宋体" w:hint="eastAsia"/>
          <w:color w:val="000000"/>
          <w:kern w:val="0"/>
          <w:sz w:val="24"/>
          <w:szCs w:val="24"/>
        </w:rPr>
        <w:t xml:space="preserve"> 在开始专业实践之时，研究生应首先登录研究生院主页“专业实践平台”进行登记。实践单位出现变更的，应在登记信息平台上进行变更备注。</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第九条</w:t>
      </w:r>
      <w:r w:rsidRPr="00E57415">
        <w:rPr>
          <w:rFonts w:ascii="宋体" w:eastAsia="宋体" w:hAnsi="宋体" w:cs="宋体" w:hint="eastAsia"/>
          <w:color w:val="000000"/>
          <w:kern w:val="0"/>
          <w:sz w:val="24"/>
          <w:szCs w:val="24"/>
        </w:rPr>
        <w:t xml:space="preserve"> 登记的主要内容包括：学号、姓名、专业学位种类和领域、所属学院、联系方式（手机号和电子信箱）、专业实践导师姓名、专业实践单位名称、实践单位地域、实践项目名称、实践计划、实践项目指导人及其联系方式（固定电话、手机号和电子信箱）、实践起止时间等。</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xml:space="preserve">第十条 </w:t>
      </w:r>
      <w:r w:rsidRPr="00E57415">
        <w:rPr>
          <w:rFonts w:ascii="宋体" w:eastAsia="宋体" w:hAnsi="宋体" w:cs="宋体" w:hint="eastAsia"/>
          <w:color w:val="000000"/>
          <w:kern w:val="0"/>
          <w:sz w:val="24"/>
          <w:szCs w:val="24"/>
        </w:rPr>
        <w:t>依据登记信息，研究生院将组织人员对研究生专业实践情况按照一定的比例进行随机抽样检查，并将检查记录及时反馈给学院以便学院督促研究生认真实践，并作为对该研究生进行专业实践考核的重要依据，也是研究生院对学院考核的依据之一。</w:t>
      </w:r>
    </w:p>
    <w:p w:rsidR="00E57415" w:rsidRPr="00E57415" w:rsidRDefault="00E57415" w:rsidP="00E57415">
      <w:pPr>
        <w:widowControl/>
        <w:spacing w:line="360" w:lineRule="auto"/>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考  核</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第十一条</w:t>
      </w:r>
      <w:r w:rsidRPr="00E57415">
        <w:rPr>
          <w:rFonts w:ascii="宋体" w:eastAsia="宋体" w:hAnsi="宋体" w:cs="宋体" w:hint="eastAsia"/>
          <w:color w:val="000000"/>
          <w:kern w:val="0"/>
          <w:sz w:val="24"/>
          <w:szCs w:val="24"/>
        </w:rPr>
        <w:t xml:space="preserve"> 考核工作坚持客观公正、重视实践效果、兼顾学科特征的基本原则。考核工作以各学院为实施主体，由学院专业实践教学工作组具体组织完成。</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第十二条</w:t>
      </w:r>
      <w:r w:rsidRPr="00E57415">
        <w:rPr>
          <w:rFonts w:ascii="宋体" w:eastAsia="宋体" w:hAnsi="宋体" w:cs="宋体" w:hint="eastAsia"/>
          <w:color w:val="000000"/>
          <w:kern w:val="0"/>
          <w:sz w:val="24"/>
          <w:szCs w:val="24"/>
        </w:rPr>
        <w:t xml:space="preserve"> 专业实践考核内容主要包括专业实践基本概况、专业实践内容与成果、个人收获等方面。</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lastRenderedPageBreak/>
        <w:t>第十三条</w:t>
      </w:r>
      <w:r w:rsidRPr="00E57415">
        <w:rPr>
          <w:rFonts w:ascii="宋体" w:eastAsia="宋体" w:hAnsi="宋体" w:cs="宋体" w:hint="eastAsia"/>
          <w:color w:val="000000"/>
          <w:kern w:val="0"/>
          <w:sz w:val="24"/>
          <w:szCs w:val="24"/>
        </w:rPr>
        <w:t xml:space="preserve"> 考核结果分“通过”和“不通过”。研究生在专业实践中发生违反科研诚信和学术道德等情形的，考核结果一律为“不通过”。</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第十四条</w:t>
      </w:r>
      <w:r w:rsidRPr="00E57415">
        <w:rPr>
          <w:rFonts w:ascii="宋体" w:eastAsia="宋体" w:hAnsi="宋体" w:cs="宋体" w:hint="eastAsia"/>
          <w:color w:val="000000"/>
          <w:kern w:val="0"/>
          <w:sz w:val="24"/>
          <w:szCs w:val="24"/>
        </w:rPr>
        <w:t xml:space="preserve"> 考核采取以下程序：</w:t>
      </w:r>
    </w:p>
    <w:p w:rsidR="00E57415" w:rsidRPr="00E57415" w:rsidRDefault="00E57415" w:rsidP="00E57415">
      <w:pPr>
        <w:widowControl/>
        <w:spacing w:line="360" w:lineRule="auto"/>
        <w:ind w:firstLineChars="196" w:firstLine="470"/>
        <w:jc w:val="left"/>
        <w:rPr>
          <w:rFonts w:ascii="宋体" w:eastAsia="宋体" w:hAnsi="宋体" w:cs="宋体"/>
          <w:color w:val="000000"/>
          <w:kern w:val="0"/>
          <w:sz w:val="24"/>
          <w:szCs w:val="24"/>
        </w:rPr>
      </w:pPr>
      <w:r w:rsidRPr="00E57415">
        <w:rPr>
          <w:rFonts w:ascii="宋体" w:eastAsia="宋体" w:hAnsi="宋体" w:cs="宋体" w:hint="eastAsia"/>
          <w:color w:val="0000FF"/>
          <w:kern w:val="0"/>
          <w:sz w:val="24"/>
          <w:szCs w:val="24"/>
        </w:rPr>
        <w:t>（一）自我评价。研究生依据个人专业实践的实际情况（包括专业实践基本概况、专业实践内容与成果、个人收获等）在规定时间内向导师提交《研究生专业实践总结报告》。</w:t>
      </w:r>
    </w:p>
    <w:p w:rsidR="00E57415" w:rsidRPr="00E57415" w:rsidRDefault="00E57415" w:rsidP="00E57415">
      <w:pPr>
        <w:widowControl/>
        <w:spacing w:line="360" w:lineRule="auto"/>
        <w:ind w:firstLineChars="196" w:firstLine="470"/>
        <w:jc w:val="left"/>
        <w:rPr>
          <w:rFonts w:ascii="宋体" w:eastAsia="宋体" w:hAnsi="宋体" w:cs="宋体"/>
          <w:color w:val="000000"/>
          <w:kern w:val="0"/>
          <w:sz w:val="24"/>
          <w:szCs w:val="24"/>
        </w:rPr>
      </w:pPr>
      <w:r w:rsidRPr="00E57415">
        <w:rPr>
          <w:rFonts w:ascii="宋体" w:eastAsia="宋体" w:hAnsi="宋体" w:cs="宋体" w:hint="eastAsia"/>
          <w:color w:val="0000FF"/>
          <w:kern w:val="0"/>
          <w:sz w:val="24"/>
          <w:szCs w:val="24"/>
        </w:rPr>
        <w:t>（二）导师评价。根据研究生提交的《总结报告》和实践单位评价意见，导师应以严谨细致的治学态度，了解研究生开展专业实践的基本情况，对其做出恰当、中肯的评价。</w:t>
      </w:r>
    </w:p>
    <w:p w:rsidR="00E57415" w:rsidRPr="00E57415" w:rsidRDefault="00E57415" w:rsidP="00E57415">
      <w:pPr>
        <w:widowControl/>
        <w:spacing w:line="360" w:lineRule="auto"/>
        <w:ind w:firstLineChars="200" w:firstLine="480"/>
        <w:jc w:val="left"/>
        <w:rPr>
          <w:rFonts w:ascii="宋体" w:eastAsia="宋体" w:hAnsi="宋体" w:cs="宋体"/>
          <w:color w:val="000000"/>
          <w:kern w:val="0"/>
          <w:sz w:val="24"/>
          <w:szCs w:val="24"/>
        </w:rPr>
      </w:pPr>
      <w:r w:rsidRPr="00E57415">
        <w:rPr>
          <w:rFonts w:ascii="宋体" w:eastAsia="宋体" w:hAnsi="宋体" w:cs="宋体" w:hint="eastAsia"/>
          <w:color w:val="0000FF"/>
          <w:kern w:val="0"/>
          <w:sz w:val="24"/>
          <w:szCs w:val="24"/>
        </w:rPr>
        <w:t>（三）学院考评。学院专业实践教学工作组应组织专家对研究生专业实践情况统一进行答辩考核，确定研究生个人专业实践考核成绩。考核成绩在本学院公示3个工作日，无异议，经主管院长签字批准后，报送研究生院审核备案。</w:t>
      </w:r>
    </w:p>
    <w:p w:rsidR="00E57415" w:rsidRPr="00E57415" w:rsidRDefault="00E57415" w:rsidP="00E57415">
      <w:pPr>
        <w:widowControl/>
        <w:spacing w:line="360" w:lineRule="auto"/>
        <w:ind w:firstLineChars="200" w:firstLine="480"/>
        <w:jc w:val="left"/>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工作组还应撰写本院研究生专业实践教学工作年度报告并提交研究生院。</w:t>
      </w:r>
    </w:p>
    <w:p w:rsidR="00E57415" w:rsidRPr="00E57415" w:rsidRDefault="00E57415" w:rsidP="00E57415">
      <w:pPr>
        <w:widowControl/>
        <w:spacing w:line="360" w:lineRule="auto"/>
        <w:ind w:firstLineChars="200" w:firstLine="480"/>
        <w:jc w:val="left"/>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学院考评一般应安排在第三学期进行，最迟在第四学期完成。如有需要，可在毕业答辩前安排一次补考。</w:t>
      </w:r>
    </w:p>
    <w:p w:rsidR="00E57415" w:rsidRPr="00E57415" w:rsidRDefault="00E57415" w:rsidP="00E57415">
      <w:pPr>
        <w:widowControl/>
        <w:spacing w:line="360" w:lineRule="auto"/>
        <w:ind w:firstLineChars="200" w:firstLine="480"/>
        <w:jc w:val="left"/>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（四）审核批准。学院上报的考核成绩，经研究生院审核通过后，由学院录入研究生成绩系统。</w:t>
      </w:r>
    </w:p>
    <w:p w:rsidR="00E57415" w:rsidRPr="00E57415" w:rsidRDefault="00E57415" w:rsidP="00E57415">
      <w:pPr>
        <w:widowControl/>
        <w:spacing w:line="360" w:lineRule="auto"/>
        <w:ind w:firstLineChars="200" w:firstLine="482"/>
        <w:jc w:val="left"/>
        <w:rPr>
          <w:rFonts w:ascii="宋体" w:eastAsia="宋体" w:hAnsi="宋体" w:cs="宋体"/>
          <w:color w:val="000000"/>
          <w:kern w:val="0"/>
          <w:sz w:val="24"/>
          <w:szCs w:val="24"/>
        </w:rPr>
      </w:pPr>
      <w:r w:rsidRPr="00E57415">
        <w:rPr>
          <w:rFonts w:ascii="宋体" w:eastAsia="宋体" w:hAnsi="宋体" w:cs="宋体" w:hint="eastAsia"/>
          <w:b/>
          <w:color w:val="FF0000"/>
          <w:kern w:val="0"/>
          <w:sz w:val="24"/>
          <w:szCs w:val="24"/>
        </w:rPr>
        <w:t xml:space="preserve">第十五条 </w:t>
      </w:r>
      <w:r w:rsidRPr="00E57415">
        <w:rPr>
          <w:rFonts w:ascii="宋体" w:eastAsia="宋体" w:hAnsi="宋体" w:cs="宋体" w:hint="eastAsia"/>
          <w:color w:val="FF0000"/>
          <w:kern w:val="0"/>
          <w:sz w:val="24"/>
          <w:szCs w:val="24"/>
        </w:rPr>
        <w:t>参加“学科竞赛”并获得学校推荐资格的研究生，专业实践成绩可直接定为“通过”；参加“学科竞赛”但未获得学校推荐的研究生，可凭参赛作品，按前述第十四条规定参加考核。</w:t>
      </w:r>
    </w:p>
    <w:p w:rsidR="00E57415" w:rsidRPr="00E57415" w:rsidRDefault="00E57415" w:rsidP="00E57415">
      <w:pPr>
        <w:widowControl/>
        <w:spacing w:line="360" w:lineRule="auto"/>
        <w:ind w:firstLineChars="200" w:firstLine="48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xml:space="preserve">第十六条 </w:t>
      </w:r>
      <w:r w:rsidRPr="00E57415">
        <w:rPr>
          <w:rFonts w:ascii="宋体" w:eastAsia="宋体" w:hAnsi="宋体" w:cs="宋体" w:hint="eastAsia"/>
          <w:color w:val="000000"/>
          <w:kern w:val="0"/>
          <w:sz w:val="24"/>
          <w:szCs w:val="24"/>
        </w:rPr>
        <w:t>对专业实践成果显著的研究生，学院应在院内予以通报表扬，并在奖学金评定等有关事宜上予以优先考虑。同时推荐参加本校和上级单位组织的专业实践评优活动。</w:t>
      </w:r>
    </w:p>
    <w:p w:rsidR="00E57415" w:rsidRPr="00E57415" w:rsidRDefault="00E57415" w:rsidP="00E57415">
      <w:pPr>
        <w:widowControl/>
        <w:spacing w:line="360" w:lineRule="auto"/>
        <w:ind w:firstLineChars="200" w:firstLine="480"/>
        <w:jc w:val="left"/>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对考核成绩为“不通过”的研究生，须重新进行专业实践。学院应认真分析原因，总结教训，提出解决方案。对研究生和导师提出批评，不得推荐该研究生参评学校的年度表彰与奖励，不得推荐该导师参评专业实践优秀导师。</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xml:space="preserve">第十七条 </w:t>
      </w:r>
      <w:r w:rsidRPr="00E57415">
        <w:rPr>
          <w:rFonts w:ascii="宋体" w:eastAsia="宋体" w:hAnsi="宋体" w:cs="宋体" w:hint="eastAsia"/>
          <w:color w:val="000000"/>
          <w:kern w:val="0"/>
          <w:sz w:val="24"/>
          <w:szCs w:val="24"/>
        </w:rPr>
        <w:t>各学院应提前一周将“专业实践考核工作安排”报送研究生院，研究生院届时选派工作人员或督导专家旁听专业实践考核答辩。</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w:t>
      </w:r>
    </w:p>
    <w:p w:rsidR="00E57415" w:rsidRPr="00E57415" w:rsidRDefault="00E57415" w:rsidP="00E57415">
      <w:pPr>
        <w:widowControl/>
        <w:spacing w:line="360" w:lineRule="auto"/>
        <w:jc w:val="center"/>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lastRenderedPageBreak/>
        <w:t>其  他</w:t>
      </w:r>
    </w:p>
    <w:p w:rsidR="00E57415" w:rsidRPr="00E57415" w:rsidRDefault="00E57415" w:rsidP="00E57415">
      <w:pPr>
        <w:widowControl/>
        <w:spacing w:line="360" w:lineRule="auto"/>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xml:space="preserve">第十八条 </w:t>
      </w:r>
      <w:r w:rsidRPr="00E57415">
        <w:rPr>
          <w:rFonts w:ascii="宋体" w:eastAsia="宋体" w:hAnsi="宋体" w:cs="宋体" w:hint="eastAsia"/>
          <w:color w:val="000000"/>
          <w:kern w:val="0"/>
          <w:sz w:val="24"/>
          <w:szCs w:val="24"/>
        </w:rPr>
        <w:t>鉴于</w:t>
      </w:r>
      <w:r w:rsidRPr="00E57415">
        <w:rPr>
          <w:rFonts w:ascii="Times New Roman" w:eastAsia="宋体" w:hAnsi="宋体" w:cs="宋体" w:hint="eastAsia"/>
          <w:color w:val="000000"/>
          <w:kern w:val="0"/>
          <w:sz w:val="24"/>
          <w:szCs w:val="24"/>
        </w:rPr>
        <w:t>临床医学硕士、口腔医学硕士和护理硕士专业学位</w:t>
      </w:r>
      <w:r w:rsidRPr="00E57415">
        <w:rPr>
          <w:rFonts w:ascii="宋体" w:eastAsia="宋体" w:hAnsi="宋体" w:cs="宋体" w:hint="eastAsia"/>
          <w:color w:val="000000"/>
          <w:kern w:val="0"/>
          <w:sz w:val="24"/>
          <w:szCs w:val="24"/>
        </w:rPr>
        <w:t>研究生专业实践教学工作的特殊性，由医学部根据《教育部 国家卫生计生委 国家中医药管理局 国家发展改革委财政部 人力资源社会保障部关于医教协同深化临床医学人才培养改革的意见》（教研〔2014〕2号）等文件精神，结合学校实际情况，自行制定实施细则，报研究生院审核备案后施行。</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xml:space="preserve">第十九条 </w:t>
      </w:r>
      <w:r w:rsidRPr="00E57415">
        <w:rPr>
          <w:rFonts w:ascii="宋体" w:eastAsia="宋体" w:hAnsi="宋体" w:cs="宋体" w:hint="eastAsia"/>
          <w:color w:val="000000"/>
          <w:kern w:val="0"/>
          <w:sz w:val="24"/>
          <w:szCs w:val="24"/>
        </w:rPr>
        <w:t>各学院应根据本办法，结合本院全日制专业学位研究生类型特点和培养实际，制定实施细则，并报研究生院审核备案后施行。附件所列考核要点可作为各院制定实施细则的参考。</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xml:space="preserve">第二十条 </w:t>
      </w:r>
      <w:r w:rsidRPr="00E57415">
        <w:rPr>
          <w:rFonts w:ascii="宋体" w:eastAsia="宋体" w:hAnsi="宋体" w:cs="宋体" w:hint="eastAsia"/>
          <w:color w:val="000000"/>
          <w:kern w:val="0"/>
          <w:sz w:val="24"/>
          <w:szCs w:val="24"/>
        </w:rPr>
        <w:t>本暂行办法自2015级研究生开始正式施行，届时原《全日制专业学位研究生校外专业实践管理办法》（西交研〔2010〕26号）同时废止。2014级研究生可参照本办法执行。</w:t>
      </w:r>
    </w:p>
    <w:p w:rsidR="00E57415" w:rsidRPr="00E57415" w:rsidRDefault="00E57415" w:rsidP="00E57415">
      <w:pPr>
        <w:widowControl/>
        <w:spacing w:line="360" w:lineRule="auto"/>
        <w:ind w:firstLineChars="196" w:firstLine="472"/>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 </w:t>
      </w:r>
    </w:p>
    <w:p w:rsidR="00E57415" w:rsidRPr="00E57415" w:rsidRDefault="00E57415" w:rsidP="000D39D0">
      <w:pPr>
        <w:spacing w:line="360" w:lineRule="auto"/>
        <w:ind w:firstLineChars="2650" w:firstLine="6385"/>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研究生院</w:t>
      </w:r>
    </w:p>
    <w:p w:rsidR="00E57415" w:rsidRPr="00E57415" w:rsidRDefault="00E57415" w:rsidP="00E57415">
      <w:pPr>
        <w:widowControl/>
        <w:spacing w:line="360" w:lineRule="auto"/>
        <w:ind w:firstLineChars="2547" w:firstLine="6137"/>
        <w:jc w:val="left"/>
        <w:rPr>
          <w:rFonts w:ascii="宋体" w:eastAsia="宋体" w:hAnsi="宋体" w:cs="宋体"/>
          <w:color w:val="000000"/>
          <w:kern w:val="0"/>
          <w:sz w:val="24"/>
          <w:szCs w:val="24"/>
        </w:rPr>
      </w:pPr>
      <w:r w:rsidRPr="00E57415">
        <w:rPr>
          <w:rFonts w:ascii="宋体" w:eastAsia="宋体" w:hAnsi="宋体" w:cs="宋体" w:hint="eastAsia"/>
          <w:b/>
          <w:color w:val="000000"/>
          <w:kern w:val="0"/>
          <w:sz w:val="24"/>
          <w:szCs w:val="24"/>
        </w:rPr>
        <w:t>2015年3月26日</w:t>
      </w:r>
    </w:p>
    <w:p w:rsidR="00C70A32" w:rsidRDefault="00C70A32" w:rsidP="00E57415"/>
    <w:p w:rsidR="00E57415" w:rsidRDefault="00E57415" w:rsidP="00E57415"/>
    <w:p w:rsidR="00E57415" w:rsidRPr="00E57415" w:rsidRDefault="00E57415" w:rsidP="00E57415">
      <w:pPr>
        <w:widowControl/>
        <w:spacing w:before="100" w:beforeAutospacing="1" w:after="100" w:afterAutospacing="1" w:line="432" w:lineRule="auto"/>
        <w:rPr>
          <w:rFonts w:ascii="宋体" w:eastAsia="宋体" w:hAnsi="宋体" w:cs="宋体"/>
          <w:color w:val="000000"/>
          <w:kern w:val="0"/>
          <w:sz w:val="28"/>
          <w:szCs w:val="28"/>
        </w:rPr>
      </w:pPr>
      <w:r w:rsidRPr="00E57415">
        <w:rPr>
          <w:rFonts w:ascii="宋体" w:eastAsia="宋体" w:hAnsi="宋体" w:cs="宋体" w:hint="eastAsia"/>
          <w:b/>
          <w:bCs/>
          <w:color w:val="000000"/>
          <w:kern w:val="0"/>
          <w:sz w:val="24"/>
          <w:szCs w:val="24"/>
        </w:rPr>
        <w:t>附件</w:t>
      </w:r>
      <w:r w:rsidRPr="00E57415">
        <w:rPr>
          <w:rFonts w:ascii="宋体" w:eastAsia="宋体" w:hAnsi="宋体" w:cs="宋体" w:hint="eastAsia"/>
          <w:color w:val="000000"/>
          <w:kern w:val="0"/>
          <w:sz w:val="24"/>
          <w:szCs w:val="24"/>
        </w:rPr>
        <w:t> </w:t>
      </w:r>
      <w:r w:rsidRPr="00E57415">
        <w:rPr>
          <w:rFonts w:ascii="宋体" w:eastAsia="宋体" w:hAnsi="宋体" w:cs="宋体" w:hint="eastAsia"/>
          <w:b/>
          <w:bCs/>
          <w:color w:val="000000"/>
          <w:kern w:val="0"/>
          <w:sz w:val="24"/>
          <w:szCs w:val="24"/>
        </w:rPr>
        <w:t>专业实践考核要点</w:t>
      </w:r>
    </w:p>
    <w:tbl>
      <w:tblPr>
        <w:tblW w:w="5698" w:type="pct"/>
        <w:jc w:val="center"/>
        <w:tblCellSpacing w:w="0" w:type="dxa"/>
        <w:tblCellMar>
          <w:left w:w="0" w:type="dxa"/>
          <w:right w:w="0" w:type="dxa"/>
        </w:tblCellMar>
        <w:tblLook w:val="0000"/>
      </w:tblPr>
      <w:tblGrid>
        <w:gridCol w:w="9466"/>
      </w:tblGrid>
      <w:tr w:rsidR="00E57415" w:rsidRPr="00E57415" w:rsidTr="0038644A">
        <w:trPr>
          <w:trHeight w:val="57"/>
          <w:tblCellSpacing w:w="0" w:type="dxa"/>
          <w:jc w:val="center"/>
        </w:trPr>
        <w:tc>
          <w:tcPr>
            <w:tcW w:w="5000" w:type="pct"/>
            <w:vAlign w:val="center"/>
          </w:tcPr>
          <w:tbl>
            <w:tblPr>
              <w:tblW w:w="8644"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60" w:type="dxa"/>
                <w:left w:w="60" w:type="dxa"/>
                <w:bottom w:w="60" w:type="dxa"/>
                <w:right w:w="60" w:type="dxa"/>
              </w:tblCellMar>
              <w:tblLook w:val="0000"/>
            </w:tblPr>
            <w:tblGrid>
              <w:gridCol w:w="1249"/>
              <w:gridCol w:w="720"/>
              <w:gridCol w:w="1260"/>
              <w:gridCol w:w="5415"/>
            </w:tblGrid>
            <w:tr w:rsidR="00E57415" w:rsidRPr="00E57415" w:rsidTr="0038644A">
              <w:trPr>
                <w:jc w:val="center"/>
              </w:trPr>
              <w:tc>
                <w:tcPr>
                  <w:tcW w:w="1249" w:type="dxa"/>
                  <w:tcBorders>
                    <w:top w:val="single" w:sz="4" w:space="0" w:color="auto"/>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b/>
                      <w:bCs/>
                      <w:color w:val="000000"/>
                      <w:kern w:val="0"/>
                      <w:sz w:val="24"/>
                      <w:szCs w:val="24"/>
                    </w:rPr>
                    <w:t>考核内容</w:t>
                  </w:r>
                </w:p>
              </w:tc>
              <w:tc>
                <w:tcPr>
                  <w:tcW w:w="720" w:type="dxa"/>
                  <w:tcBorders>
                    <w:top w:val="single" w:sz="4" w:space="0" w:color="auto"/>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b/>
                      <w:bCs/>
                      <w:color w:val="000000"/>
                      <w:kern w:val="0"/>
                      <w:sz w:val="24"/>
                      <w:szCs w:val="24"/>
                    </w:rPr>
                    <w:t>序号</w:t>
                  </w:r>
                </w:p>
              </w:tc>
              <w:tc>
                <w:tcPr>
                  <w:tcW w:w="1260" w:type="dxa"/>
                  <w:tcBorders>
                    <w:top w:val="single" w:sz="4" w:space="0" w:color="auto"/>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b/>
                      <w:bCs/>
                      <w:color w:val="000000"/>
                      <w:kern w:val="0"/>
                      <w:sz w:val="24"/>
                      <w:szCs w:val="24"/>
                    </w:rPr>
                    <w:t>考核指标</w:t>
                  </w:r>
                </w:p>
              </w:tc>
              <w:tc>
                <w:tcPr>
                  <w:tcW w:w="5415" w:type="dxa"/>
                  <w:tcBorders>
                    <w:top w:val="single" w:sz="4" w:space="0" w:color="auto"/>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b/>
                      <w:bCs/>
                      <w:color w:val="000000"/>
                      <w:kern w:val="0"/>
                      <w:sz w:val="24"/>
                      <w:szCs w:val="24"/>
                    </w:rPr>
                    <w:t>考核要点</w:t>
                  </w:r>
                </w:p>
              </w:tc>
            </w:tr>
            <w:tr w:rsidR="00E57415" w:rsidRPr="00E57415" w:rsidTr="0038644A">
              <w:trPr>
                <w:jc w:val="center"/>
              </w:trPr>
              <w:tc>
                <w:tcPr>
                  <w:tcW w:w="1249"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基本概况</w:t>
                  </w:r>
                </w:p>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（20分）</w:t>
                  </w:r>
                </w:p>
              </w:tc>
              <w:tc>
                <w:tcPr>
                  <w:tcW w:w="7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color w:val="000000"/>
                      <w:kern w:val="0"/>
                      <w:sz w:val="24"/>
                      <w:szCs w:val="24"/>
                    </w:rPr>
                    <w:t>1</w:t>
                  </w:r>
                </w:p>
              </w:tc>
              <w:tc>
                <w:tcPr>
                  <w:tcW w:w="12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登记/时间</w:t>
                  </w:r>
                </w:p>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核查统计</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r w:rsidRPr="00E57415">
                    <w:rPr>
                      <w:rFonts w:ascii="宋体" w:eastAsia="宋体" w:hAnsi="宋体" w:cs="Times New Roman" w:hint="eastAsia"/>
                      <w:sz w:val="24"/>
                      <w:szCs w:val="24"/>
                    </w:rPr>
                    <w:t>按要求进行了网上登记（包括变更备注）</w:t>
                  </w:r>
                </w:p>
              </w:tc>
            </w:tr>
            <w:tr w:rsidR="00E57415" w:rsidRPr="00E57415" w:rsidTr="0038644A">
              <w:trPr>
                <w:jc w:val="center"/>
              </w:trPr>
              <w:tc>
                <w:tcPr>
                  <w:tcW w:w="1249"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126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r w:rsidRPr="00E57415">
                    <w:rPr>
                      <w:rFonts w:ascii="宋体" w:eastAsia="宋体" w:hAnsi="宋体" w:cs="Times New Roman" w:hint="eastAsia"/>
                      <w:sz w:val="24"/>
                      <w:szCs w:val="24"/>
                    </w:rPr>
                    <w:t>累计专业实践时间达到6个月</w:t>
                  </w:r>
                </w:p>
              </w:tc>
            </w:tr>
            <w:tr w:rsidR="00E57415" w:rsidRPr="00E57415" w:rsidTr="0038644A">
              <w:trPr>
                <w:jc w:val="center"/>
              </w:trPr>
              <w:tc>
                <w:tcPr>
                  <w:tcW w:w="1249"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color w:val="000000"/>
                      <w:kern w:val="0"/>
                      <w:sz w:val="24"/>
                      <w:szCs w:val="24"/>
                    </w:rPr>
                    <w:t>2</w:t>
                  </w:r>
                </w:p>
              </w:tc>
              <w:tc>
                <w:tcPr>
                  <w:tcW w:w="1260"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实践岗位安排</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r w:rsidRPr="00E57415">
                    <w:rPr>
                      <w:rFonts w:ascii="宋体" w:eastAsia="宋体" w:hAnsi="宋体" w:cs="Times New Roman" w:hint="eastAsia"/>
                      <w:sz w:val="24"/>
                      <w:szCs w:val="24"/>
                    </w:rPr>
                    <w:t>与个人学科专业匹配度（匹配或相近）</w:t>
                  </w:r>
                </w:p>
              </w:tc>
            </w:tr>
            <w:tr w:rsidR="00E57415" w:rsidRPr="00E57415" w:rsidTr="0038644A">
              <w:trPr>
                <w:jc w:val="center"/>
              </w:trPr>
              <w:tc>
                <w:tcPr>
                  <w:tcW w:w="1249" w:type="dxa"/>
                  <w:vMerge/>
                  <w:tcBorders>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p>
              </w:tc>
              <w:tc>
                <w:tcPr>
                  <w:tcW w:w="1260" w:type="dxa"/>
                  <w:vMerge/>
                  <w:tcBorders>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岗位在实践单位中的层次性（重要或一般）</w:t>
                  </w:r>
                </w:p>
              </w:tc>
            </w:tr>
            <w:tr w:rsidR="00E57415" w:rsidRPr="00E57415" w:rsidTr="0038644A">
              <w:trPr>
                <w:jc w:val="center"/>
              </w:trPr>
              <w:tc>
                <w:tcPr>
                  <w:tcW w:w="12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实践情况</w:t>
                  </w:r>
                </w:p>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（50分）</w:t>
                  </w:r>
                </w:p>
              </w:tc>
              <w:tc>
                <w:tcPr>
                  <w:tcW w:w="7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color w:val="000000"/>
                      <w:kern w:val="0"/>
                      <w:sz w:val="24"/>
                      <w:szCs w:val="24"/>
                    </w:rPr>
                    <w:t>3</w:t>
                  </w:r>
                </w:p>
              </w:tc>
              <w:tc>
                <w:tcPr>
                  <w:tcW w:w="12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专业技能历练</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工作内容完成（可按照既定目标要求，按期按质完成实践岗位中与本学科、专业相关的工作内容，恰当操作相关仪器设备或运用相关软件工具）</w:t>
                  </w:r>
                </w:p>
              </w:tc>
            </w:tr>
            <w:tr w:rsidR="00E57415" w:rsidRPr="00E57415" w:rsidTr="0038644A">
              <w:trPr>
                <w:jc w:val="center"/>
              </w:trPr>
              <w:tc>
                <w:tcPr>
                  <w:tcW w:w="12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126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复杂问题处理（面对复杂问题具有预判和理性认知能力；在实践单位导师的指导下，具有解决复杂问题的思路与方法并进行了深入实践）</w:t>
                  </w:r>
                </w:p>
              </w:tc>
            </w:tr>
            <w:tr w:rsidR="00E57415" w:rsidRPr="00E57415" w:rsidTr="0038644A">
              <w:trPr>
                <w:jc w:val="center"/>
              </w:trPr>
              <w:tc>
                <w:tcPr>
                  <w:tcW w:w="12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126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求实创新探索（自觉追求、原创性强，工作中有创新和独到见解；新思想和新做法对提高实践单位生产或社会效益具有额外贡献）</w:t>
                  </w:r>
                </w:p>
              </w:tc>
            </w:tr>
            <w:tr w:rsidR="00E57415" w:rsidRPr="00E57415" w:rsidTr="0038644A">
              <w:trPr>
                <w:jc w:val="center"/>
              </w:trPr>
              <w:tc>
                <w:tcPr>
                  <w:tcW w:w="12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color w:val="000000"/>
                      <w:kern w:val="0"/>
                      <w:sz w:val="24"/>
                      <w:szCs w:val="24"/>
                    </w:rPr>
                    <w:t>4</w:t>
                  </w:r>
                </w:p>
              </w:tc>
              <w:tc>
                <w:tcPr>
                  <w:tcW w:w="126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综合能力培养</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合作沟通能力（积极热情、工作投入，主动和善于从实际工作中吸纳别人的长处；能对同事的行为产生激励和主动影响）</w:t>
                  </w:r>
                </w:p>
              </w:tc>
            </w:tr>
            <w:tr w:rsidR="00E57415" w:rsidRPr="00E57415" w:rsidTr="0038644A">
              <w:trPr>
                <w:jc w:val="center"/>
              </w:trPr>
              <w:tc>
                <w:tcPr>
                  <w:tcW w:w="12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126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组织协调能力（对承担的工作任务积极主动，能够有效组织或参与团队协作；可有效利用实践单位的信息资源，取得同事的支持和尊重）</w:t>
                  </w:r>
                </w:p>
              </w:tc>
            </w:tr>
            <w:tr w:rsidR="00E57415" w:rsidRPr="00E57415" w:rsidTr="0038644A">
              <w:trPr>
                <w:jc w:val="center"/>
              </w:trPr>
              <w:tc>
                <w:tcPr>
                  <w:tcW w:w="12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126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公平竞争能力（以实际行动在组织中营造精诚合作与公平竞争的氛围；以积极行为有效化解合作团队中的冲突，维护和加强合作团队的名誉）</w:t>
                  </w:r>
                </w:p>
              </w:tc>
            </w:tr>
            <w:tr w:rsidR="00E57415" w:rsidRPr="00E57415" w:rsidTr="0038644A">
              <w:trPr>
                <w:jc w:val="center"/>
              </w:trPr>
              <w:tc>
                <w:tcPr>
                  <w:tcW w:w="1249"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个人收获</w:t>
                  </w:r>
                </w:p>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（30分）</w:t>
                  </w:r>
                </w:p>
              </w:tc>
              <w:tc>
                <w:tcPr>
                  <w:tcW w:w="720"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5</w:t>
                  </w:r>
                </w:p>
              </w:tc>
              <w:tc>
                <w:tcPr>
                  <w:tcW w:w="1260"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Times New Roman"/>
                      <w:sz w:val="24"/>
                      <w:szCs w:val="24"/>
                    </w:rPr>
                  </w:pPr>
                  <w:r w:rsidRPr="00E57415">
                    <w:rPr>
                      <w:rFonts w:ascii="宋体" w:eastAsia="宋体" w:hAnsi="宋体" w:cs="宋体" w:hint="eastAsia"/>
                      <w:color w:val="000000"/>
                      <w:kern w:val="0"/>
                      <w:sz w:val="24"/>
                      <w:szCs w:val="24"/>
                    </w:rPr>
                    <w:t>学科专业领域</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r w:rsidRPr="00E57415">
                    <w:rPr>
                      <w:rFonts w:ascii="宋体" w:eastAsia="宋体" w:hAnsi="宋体" w:cs="Times New Roman" w:hint="eastAsia"/>
                      <w:sz w:val="24"/>
                      <w:szCs w:val="24"/>
                    </w:rPr>
                    <w:t>学科视野扩展（了解到本学科专业领域的最新技术与思维进展；体会出书本理论知识与生产生活实际存在的重大差异特征）</w:t>
                  </w:r>
                </w:p>
              </w:tc>
            </w:tr>
            <w:tr w:rsidR="00E57415" w:rsidRPr="00E57415" w:rsidTr="0038644A">
              <w:trPr>
                <w:jc w:val="center"/>
              </w:trPr>
              <w:tc>
                <w:tcPr>
                  <w:tcW w:w="1249" w:type="dxa"/>
                  <w:vMerge/>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126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r w:rsidRPr="00E57415">
                    <w:rPr>
                      <w:rFonts w:ascii="宋体" w:eastAsia="宋体" w:hAnsi="宋体" w:cs="Times New Roman" w:hint="eastAsia"/>
                      <w:sz w:val="24"/>
                      <w:szCs w:val="24"/>
                    </w:rPr>
                    <w:t>成果获得情况（取得了预期的目标成果〔调研报告、工艺优化、产品设计、专利发明〕等；获得了有关的竞赛奖项〔奖项证书〕等）</w:t>
                  </w:r>
                </w:p>
              </w:tc>
            </w:tr>
            <w:tr w:rsidR="00E57415" w:rsidRPr="00E57415" w:rsidTr="0038644A">
              <w:trPr>
                <w:jc w:val="center"/>
              </w:trPr>
              <w:tc>
                <w:tcPr>
                  <w:tcW w:w="1249" w:type="dxa"/>
                  <w:vMerge/>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126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Times New Roman"/>
                      <w:sz w:val="24"/>
                      <w:szCs w:val="24"/>
                    </w:rPr>
                  </w:pPr>
                  <w:r w:rsidRPr="00E57415">
                    <w:rPr>
                      <w:rFonts w:ascii="宋体" w:eastAsia="宋体" w:hAnsi="宋体" w:cs="Times New Roman" w:hint="eastAsia"/>
                      <w:sz w:val="24"/>
                      <w:szCs w:val="24"/>
                    </w:rPr>
                    <w:t>论文选题情况（与实践工作内容相关程度）</w:t>
                  </w:r>
                </w:p>
              </w:tc>
            </w:tr>
            <w:tr w:rsidR="00E57415" w:rsidRPr="00E57415" w:rsidTr="0038644A">
              <w:trPr>
                <w:jc w:val="center"/>
              </w:trPr>
              <w:tc>
                <w:tcPr>
                  <w:tcW w:w="1249"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6</w:t>
                  </w:r>
                </w:p>
              </w:tc>
              <w:tc>
                <w:tcPr>
                  <w:tcW w:w="1260" w:type="dxa"/>
                  <w:vMerge w:val="restart"/>
                  <w:tcBorders>
                    <w:top w:val="outset" w:sz="6" w:space="0" w:color="000000"/>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个人品格素质</w:t>
                  </w: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生活工作条件适应性（环境适应性强，生活和工作情绪均表现出愉悦状态；能够有效处理生活和工作之间出现的两难选择，目标明确清晰）</w:t>
                  </w:r>
                </w:p>
              </w:tc>
            </w:tr>
            <w:tr w:rsidR="00E57415" w:rsidRPr="00E57415" w:rsidTr="0038644A">
              <w:trPr>
                <w:jc w:val="center"/>
              </w:trPr>
              <w:tc>
                <w:tcPr>
                  <w:tcW w:w="1249"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p>
              </w:tc>
              <w:tc>
                <w:tcPr>
                  <w:tcW w:w="126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工作内容变更适应性（服从工作需要的调整安排，具有全局意识；岗位调整后工作执行到位，流程控制适当，具有保密和知识产权意识）</w:t>
                  </w:r>
                </w:p>
              </w:tc>
            </w:tr>
            <w:tr w:rsidR="00E57415" w:rsidRPr="00E57415" w:rsidTr="0038644A">
              <w:trPr>
                <w:jc w:val="center"/>
              </w:trPr>
              <w:tc>
                <w:tcPr>
                  <w:tcW w:w="1249"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p>
              </w:tc>
              <w:tc>
                <w:tcPr>
                  <w:tcW w:w="72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p>
              </w:tc>
              <w:tc>
                <w:tcPr>
                  <w:tcW w:w="1260" w:type="dxa"/>
                  <w:vMerge/>
                  <w:tcBorders>
                    <w:left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p>
              </w:tc>
              <w:tc>
                <w:tcPr>
                  <w:tcW w:w="54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Times New Roman" w:hint="eastAsia"/>
                      <w:sz w:val="24"/>
                      <w:szCs w:val="24"/>
                    </w:rPr>
                    <w:t>工作中挫折的承受性（面对艰苦与逆境，具有坚韧性和抗受挫能力；在工作遇到困难时能够向指导者或同事及时沟通与虚心请教）</w:t>
                  </w:r>
                </w:p>
              </w:tc>
            </w:tr>
            <w:tr w:rsidR="00E57415" w:rsidRPr="00E57415" w:rsidTr="0038644A">
              <w:trPr>
                <w:jc w:val="center"/>
              </w:trPr>
              <w:tc>
                <w:tcPr>
                  <w:tcW w:w="1249" w:type="dxa"/>
                  <w:tcBorders>
                    <w:top w:val="outset" w:sz="6" w:space="0" w:color="000000"/>
                    <w:left w:val="outset" w:sz="6" w:space="0" w:color="000000"/>
                    <w:bottom w:val="single" w:sz="4" w:space="0" w:color="auto"/>
                    <w:right w:val="outset" w:sz="6" w:space="0" w:color="000000"/>
                  </w:tcBorders>
                  <w:shd w:val="clear" w:color="auto" w:fill="FFFFFF"/>
                  <w:vAlign w:val="center"/>
                </w:tcPr>
                <w:p w:rsidR="00E57415" w:rsidRPr="00E57415" w:rsidRDefault="00E57415" w:rsidP="00E57415">
                  <w:pPr>
                    <w:widowControl/>
                    <w:spacing w:before="100" w:beforeAutospacing="1" w:after="100" w:afterAutospacing="1"/>
                    <w:jc w:val="center"/>
                    <w:rPr>
                      <w:rFonts w:ascii="宋体" w:eastAsia="宋体" w:hAnsi="宋体" w:cs="宋体"/>
                      <w:color w:val="000000"/>
                      <w:kern w:val="0"/>
                      <w:sz w:val="24"/>
                      <w:szCs w:val="24"/>
                    </w:rPr>
                  </w:pPr>
                  <w:r w:rsidRPr="00E57415">
                    <w:rPr>
                      <w:rFonts w:ascii="宋体" w:eastAsia="宋体" w:hAnsi="宋体" w:cs="宋体"/>
                      <w:color w:val="000000"/>
                      <w:kern w:val="0"/>
                      <w:sz w:val="24"/>
                      <w:szCs w:val="24"/>
                    </w:rPr>
                    <w:t>否决项</w:t>
                  </w:r>
                </w:p>
              </w:tc>
              <w:tc>
                <w:tcPr>
                  <w:tcW w:w="720" w:type="dxa"/>
                  <w:tcBorders>
                    <w:top w:val="outset" w:sz="6" w:space="0" w:color="000000"/>
                    <w:left w:val="outset" w:sz="6" w:space="0" w:color="000000"/>
                    <w:bottom w:val="single" w:sz="4" w:space="0" w:color="auto"/>
                    <w:right w:val="outset" w:sz="6" w:space="0" w:color="000000"/>
                  </w:tcBorders>
                  <w:shd w:val="clear" w:color="auto" w:fill="FFFFFF"/>
                  <w:vAlign w:val="center"/>
                </w:tcPr>
                <w:p w:rsidR="00E57415" w:rsidRPr="00E57415" w:rsidRDefault="00E57415" w:rsidP="00E57415">
                  <w:pPr>
                    <w:widowControl/>
                    <w:jc w:val="center"/>
                    <w:rPr>
                      <w:rFonts w:ascii="宋体" w:eastAsia="宋体" w:hAnsi="宋体" w:cs="宋体"/>
                      <w:color w:val="000000"/>
                      <w:kern w:val="0"/>
                      <w:sz w:val="24"/>
                      <w:szCs w:val="24"/>
                    </w:rPr>
                  </w:pPr>
                  <w:r w:rsidRPr="00E57415">
                    <w:rPr>
                      <w:rFonts w:ascii="宋体" w:eastAsia="宋体" w:hAnsi="宋体" w:cs="宋体" w:hint="eastAsia"/>
                      <w:color w:val="000000"/>
                      <w:kern w:val="0"/>
                      <w:sz w:val="24"/>
                      <w:szCs w:val="24"/>
                    </w:rPr>
                    <w:t>7</w:t>
                  </w:r>
                </w:p>
              </w:tc>
              <w:tc>
                <w:tcPr>
                  <w:tcW w:w="6675" w:type="dxa"/>
                  <w:gridSpan w:val="2"/>
                  <w:tcBorders>
                    <w:top w:val="outset" w:sz="6" w:space="0" w:color="000000"/>
                    <w:left w:val="outset" w:sz="6" w:space="0" w:color="000000"/>
                    <w:bottom w:val="single" w:sz="4" w:space="0" w:color="auto"/>
                    <w:right w:val="outset" w:sz="6" w:space="0" w:color="000000"/>
                  </w:tcBorders>
                  <w:shd w:val="clear" w:color="auto" w:fill="FFFFFF"/>
                  <w:vAlign w:val="center"/>
                </w:tcPr>
                <w:p w:rsidR="00E57415" w:rsidRPr="00E57415" w:rsidRDefault="00E57415" w:rsidP="00E57415">
                  <w:pPr>
                    <w:widowControl/>
                    <w:jc w:val="left"/>
                    <w:rPr>
                      <w:rFonts w:ascii="宋体" w:eastAsia="宋体" w:hAnsi="宋体" w:cs="宋体"/>
                      <w:color w:val="000000"/>
                      <w:kern w:val="0"/>
                      <w:sz w:val="24"/>
                      <w:szCs w:val="24"/>
                    </w:rPr>
                  </w:pPr>
                  <w:r w:rsidRPr="00E57415">
                    <w:rPr>
                      <w:rFonts w:ascii="宋体" w:eastAsia="宋体" w:hAnsi="宋体" w:cs="宋体"/>
                      <w:color w:val="000000"/>
                      <w:kern w:val="0"/>
                      <w:sz w:val="24"/>
                      <w:szCs w:val="24"/>
                    </w:rPr>
                    <w:t>发生</w:t>
                  </w:r>
                  <w:r w:rsidRPr="00E57415">
                    <w:rPr>
                      <w:rFonts w:ascii="宋体" w:eastAsia="宋体" w:hAnsi="宋体" w:cs="宋体" w:hint="eastAsia"/>
                      <w:color w:val="000000"/>
                      <w:kern w:val="0"/>
                      <w:sz w:val="24"/>
                      <w:szCs w:val="24"/>
                    </w:rPr>
                    <w:t>违反科学道德等情形</w:t>
                  </w:r>
                  <w:r w:rsidRPr="00E57415">
                    <w:rPr>
                      <w:rFonts w:ascii="宋体" w:eastAsia="宋体" w:hAnsi="宋体" w:cs="宋体"/>
                      <w:color w:val="000000"/>
                      <w:kern w:val="0"/>
                      <w:sz w:val="24"/>
                      <w:szCs w:val="24"/>
                    </w:rPr>
                    <w:t>的，考核结果一律为</w:t>
                  </w:r>
                  <w:r w:rsidRPr="00E57415">
                    <w:rPr>
                      <w:rFonts w:ascii="宋体" w:eastAsia="宋体" w:hAnsi="宋体" w:cs="宋体" w:hint="eastAsia"/>
                      <w:color w:val="000000"/>
                      <w:kern w:val="0"/>
                      <w:sz w:val="24"/>
                      <w:szCs w:val="24"/>
                    </w:rPr>
                    <w:t>“不通过”</w:t>
                  </w:r>
                  <w:r w:rsidRPr="00E57415">
                    <w:rPr>
                      <w:rFonts w:ascii="宋体" w:eastAsia="宋体" w:hAnsi="宋体" w:cs="宋体"/>
                      <w:color w:val="000000"/>
                      <w:kern w:val="0"/>
                      <w:sz w:val="24"/>
                      <w:szCs w:val="24"/>
                    </w:rPr>
                    <w:t>。</w:t>
                  </w:r>
                </w:p>
              </w:tc>
            </w:tr>
          </w:tbl>
          <w:p w:rsidR="00E57415" w:rsidRPr="00E57415" w:rsidRDefault="00E57415" w:rsidP="00E57415">
            <w:pPr>
              <w:widowControl/>
              <w:spacing w:line="432" w:lineRule="auto"/>
              <w:jc w:val="left"/>
              <w:rPr>
                <w:rFonts w:ascii="宋体" w:eastAsia="宋体" w:hAnsi="宋体" w:cs="宋体"/>
                <w:color w:val="000000"/>
                <w:kern w:val="0"/>
                <w:sz w:val="24"/>
                <w:szCs w:val="24"/>
              </w:rPr>
            </w:pPr>
          </w:p>
        </w:tc>
      </w:tr>
    </w:tbl>
    <w:p w:rsidR="00E57415" w:rsidRPr="00E57415" w:rsidRDefault="00E57415" w:rsidP="00E57415">
      <w:bookmarkStart w:id="0" w:name="_GoBack"/>
      <w:bookmarkEnd w:id="0"/>
    </w:p>
    <w:sectPr w:rsidR="00E57415" w:rsidRPr="00E57415" w:rsidSect="00FD21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4C6" w:rsidRDefault="00AB24C6" w:rsidP="00E57415">
      <w:r>
        <w:separator/>
      </w:r>
    </w:p>
  </w:endnote>
  <w:endnote w:type="continuationSeparator" w:id="1">
    <w:p w:rsidR="00AB24C6" w:rsidRDefault="00AB24C6" w:rsidP="00E574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4C6" w:rsidRDefault="00AB24C6" w:rsidP="00E57415">
      <w:r>
        <w:separator/>
      </w:r>
    </w:p>
  </w:footnote>
  <w:footnote w:type="continuationSeparator" w:id="1">
    <w:p w:rsidR="00AB24C6" w:rsidRDefault="00AB24C6" w:rsidP="00E574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8A7"/>
    <w:rsid w:val="000D39D0"/>
    <w:rsid w:val="003D2704"/>
    <w:rsid w:val="004008A7"/>
    <w:rsid w:val="00AB24C6"/>
    <w:rsid w:val="00C04EF6"/>
    <w:rsid w:val="00C70A32"/>
    <w:rsid w:val="00E57415"/>
    <w:rsid w:val="00FD2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415"/>
    <w:rPr>
      <w:sz w:val="18"/>
      <w:szCs w:val="18"/>
    </w:rPr>
  </w:style>
  <w:style w:type="paragraph" w:styleId="a4">
    <w:name w:val="footer"/>
    <w:basedOn w:val="a"/>
    <w:link w:val="Char0"/>
    <w:uiPriority w:val="99"/>
    <w:unhideWhenUsed/>
    <w:rsid w:val="00E57415"/>
    <w:pPr>
      <w:tabs>
        <w:tab w:val="center" w:pos="4153"/>
        <w:tab w:val="right" w:pos="8306"/>
      </w:tabs>
      <w:snapToGrid w:val="0"/>
      <w:jc w:val="left"/>
    </w:pPr>
    <w:rPr>
      <w:sz w:val="18"/>
      <w:szCs w:val="18"/>
    </w:rPr>
  </w:style>
  <w:style w:type="character" w:customStyle="1" w:styleId="Char0">
    <w:name w:val="页脚 Char"/>
    <w:basedOn w:val="a0"/>
    <w:link w:val="a4"/>
    <w:uiPriority w:val="99"/>
    <w:rsid w:val="00E574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415"/>
    <w:rPr>
      <w:sz w:val="18"/>
      <w:szCs w:val="18"/>
    </w:rPr>
  </w:style>
  <w:style w:type="paragraph" w:styleId="a4">
    <w:name w:val="footer"/>
    <w:basedOn w:val="a"/>
    <w:link w:val="Char0"/>
    <w:uiPriority w:val="99"/>
    <w:unhideWhenUsed/>
    <w:rsid w:val="00E57415"/>
    <w:pPr>
      <w:tabs>
        <w:tab w:val="center" w:pos="4153"/>
        <w:tab w:val="right" w:pos="8306"/>
      </w:tabs>
      <w:snapToGrid w:val="0"/>
      <w:jc w:val="left"/>
    </w:pPr>
    <w:rPr>
      <w:sz w:val="18"/>
      <w:szCs w:val="18"/>
    </w:rPr>
  </w:style>
  <w:style w:type="character" w:customStyle="1" w:styleId="Char0">
    <w:name w:val="页脚 Char"/>
    <w:basedOn w:val="a0"/>
    <w:link w:val="a4"/>
    <w:uiPriority w:val="99"/>
    <w:rsid w:val="00E57415"/>
    <w:rPr>
      <w:sz w:val="18"/>
      <w:szCs w:val="18"/>
    </w:rPr>
  </w:style>
</w:styles>
</file>

<file path=word/webSettings.xml><?xml version="1.0" encoding="utf-8"?>
<w:webSettings xmlns:r="http://schemas.openxmlformats.org/officeDocument/2006/relationships" xmlns:w="http://schemas.openxmlformats.org/wordprocessingml/2006/main">
  <w:divs>
    <w:div w:id="83690789">
      <w:bodyDiv w:val="1"/>
      <w:marLeft w:val="0"/>
      <w:marRight w:val="0"/>
      <w:marTop w:val="0"/>
      <w:marBottom w:val="0"/>
      <w:divBdr>
        <w:top w:val="none" w:sz="0" w:space="0" w:color="auto"/>
        <w:left w:val="none" w:sz="0" w:space="0" w:color="auto"/>
        <w:bottom w:val="none" w:sz="0" w:space="0" w:color="auto"/>
        <w:right w:val="none" w:sz="0" w:space="0" w:color="auto"/>
      </w:divBdr>
      <w:divsChild>
        <w:div w:id="225143152">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43953251">
              <w:marLeft w:val="0"/>
              <w:marRight w:val="0"/>
              <w:marTop w:val="0"/>
              <w:marBottom w:val="0"/>
              <w:divBdr>
                <w:top w:val="none" w:sz="0" w:space="0" w:color="auto"/>
                <w:left w:val="none" w:sz="0" w:space="0" w:color="auto"/>
                <w:bottom w:val="none" w:sz="0" w:space="0" w:color="auto"/>
                <w:right w:val="none" w:sz="0" w:space="0" w:color="auto"/>
              </w:divBdr>
              <w:divsChild>
                <w:div w:id="7083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6921">
      <w:bodyDiv w:val="1"/>
      <w:marLeft w:val="0"/>
      <w:marRight w:val="0"/>
      <w:marTop w:val="0"/>
      <w:marBottom w:val="0"/>
      <w:divBdr>
        <w:top w:val="none" w:sz="0" w:space="0" w:color="auto"/>
        <w:left w:val="none" w:sz="0" w:space="0" w:color="auto"/>
        <w:bottom w:val="none" w:sz="0" w:space="0" w:color="auto"/>
        <w:right w:val="none" w:sz="0" w:space="0" w:color="auto"/>
      </w:divBdr>
      <w:divsChild>
        <w:div w:id="71843781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505054413">
              <w:marLeft w:val="0"/>
              <w:marRight w:val="0"/>
              <w:marTop w:val="0"/>
              <w:marBottom w:val="0"/>
              <w:divBdr>
                <w:top w:val="none" w:sz="0" w:space="0" w:color="auto"/>
                <w:left w:val="none" w:sz="0" w:space="0" w:color="auto"/>
                <w:bottom w:val="none" w:sz="0" w:space="0" w:color="auto"/>
                <w:right w:val="none" w:sz="0" w:space="0" w:color="auto"/>
              </w:divBdr>
              <w:divsChild>
                <w:div w:id="19147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30885">
      <w:bodyDiv w:val="1"/>
      <w:marLeft w:val="0"/>
      <w:marRight w:val="0"/>
      <w:marTop w:val="0"/>
      <w:marBottom w:val="0"/>
      <w:divBdr>
        <w:top w:val="none" w:sz="0" w:space="0" w:color="auto"/>
        <w:left w:val="none" w:sz="0" w:space="0" w:color="auto"/>
        <w:bottom w:val="none" w:sz="0" w:space="0" w:color="auto"/>
        <w:right w:val="none" w:sz="0" w:space="0" w:color="auto"/>
      </w:divBdr>
      <w:divsChild>
        <w:div w:id="494296376">
          <w:blockQuote w:val="1"/>
          <w:marLeft w:val="120"/>
          <w:marRight w:val="720"/>
          <w:marTop w:val="0"/>
          <w:marBottom w:val="0"/>
          <w:divBdr>
            <w:top w:val="none" w:sz="0" w:space="0" w:color="auto"/>
            <w:left w:val="none" w:sz="0" w:space="0" w:color="auto"/>
            <w:bottom w:val="none" w:sz="0" w:space="0" w:color="auto"/>
            <w:right w:val="none" w:sz="0" w:space="0" w:color="auto"/>
          </w:divBdr>
          <w:divsChild>
            <w:div w:id="810632414">
              <w:marLeft w:val="0"/>
              <w:marRight w:val="0"/>
              <w:marTop w:val="0"/>
              <w:marBottom w:val="0"/>
              <w:divBdr>
                <w:top w:val="none" w:sz="0" w:space="0" w:color="auto"/>
                <w:left w:val="none" w:sz="0" w:space="0" w:color="auto"/>
                <w:bottom w:val="none" w:sz="0" w:space="0" w:color="auto"/>
                <w:right w:val="none" w:sz="0" w:space="0" w:color="auto"/>
              </w:divBdr>
              <w:divsChild>
                <w:div w:id="14636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135">
      <w:bodyDiv w:val="1"/>
      <w:marLeft w:val="0"/>
      <w:marRight w:val="0"/>
      <w:marTop w:val="0"/>
      <w:marBottom w:val="0"/>
      <w:divBdr>
        <w:top w:val="none" w:sz="0" w:space="0" w:color="auto"/>
        <w:left w:val="none" w:sz="0" w:space="0" w:color="auto"/>
        <w:bottom w:val="none" w:sz="0" w:space="0" w:color="auto"/>
        <w:right w:val="none" w:sz="0" w:space="0" w:color="auto"/>
      </w:divBdr>
      <w:divsChild>
        <w:div w:id="1697728350">
          <w:blockQuote w:val="1"/>
          <w:marLeft w:val="120"/>
          <w:marRight w:val="720"/>
          <w:marTop w:val="0"/>
          <w:marBottom w:val="0"/>
          <w:divBdr>
            <w:top w:val="none" w:sz="0" w:space="0" w:color="auto"/>
            <w:left w:val="none" w:sz="0" w:space="0" w:color="auto"/>
            <w:bottom w:val="none" w:sz="0" w:space="0" w:color="auto"/>
            <w:right w:val="none" w:sz="0" w:space="0" w:color="auto"/>
          </w:divBdr>
          <w:divsChild>
            <w:div w:id="1201623672">
              <w:marLeft w:val="0"/>
              <w:marRight w:val="0"/>
              <w:marTop w:val="0"/>
              <w:marBottom w:val="0"/>
              <w:divBdr>
                <w:top w:val="none" w:sz="0" w:space="0" w:color="auto"/>
                <w:left w:val="none" w:sz="0" w:space="0" w:color="auto"/>
                <w:bottom w:val="none" w:sz="0" w:space="0" w:color="auto"/>
                <w:right w:val="none" w:sz="0" w:space="0" w:color="auto"/>
              </w:divBdr>
              <w:divsChild>
                <w:div w:id="16238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3014</Characters>
  <Application>Microsoft Office Word</Application>
  <DocSecurity>0</DocSecurity>
  <Lines>25</Lines>
  <Paragraphs>7</Paragraphs>
  <ScaleCrop>false</ScaleCrop>
  <Company>Microsoft</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20</cp:lastModifiedBy>
  <cp:revision>2</cp:revision>
  <dcterms:created xsi:type="dcterms:W3CDTF">2017-04-15T12:44:00Z</dcterms:created>
  <dcterms:modified xsi:type="dcterms:W3CDTF">2017-04-15T12:44:00Z</dcterms:modified>
</cp:coreProperties>
</file>